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D9" w:rsidRPr="00A467D9" w:rsidRDefault="00A467D9" w:rsidP="00EB66D9">
      <w:pPr>
        <w:pStyle w:val="NormalWeb"/>
        <w:spacing w:after="0" w:afterAutospacing="0"/>
        <w:jc w:val="center"/>
        <w:rPr>
          <w:sz w:val="32"/>
          <w:szCs w:val="32"/>
        </w:rPr>
      </w:pPr>
      <w:bookmarkStart w:id="0" w:name="_GoBack"/>
      <w:bookmarkEnd w:id="0"/>
      <w:r w:rsidRPr="00A467D9">
        <w:rPr>
          <w:b/>
          <w:smallCaps/>
          <w:sz w:val="32"/>
          <w:szCs w:val="32"/>
        </w:rPr>
        <w:t>Memorandum of Law Petit Jury Authority</w:t>
      </w:r>
    </w:p>
    <w:p w:rsidR="00EB66D9" w:rsidRPr="000D3FC6" w:rsidRDefault="00EB66D9" w:rsidP="00EB66D9">
      <w:pPr>
        <w:spacing w:line="240" w:lineRule="auto"/>
        <w:jc w:val="right"/>
        <w:rPr>
          <w:rFonts w:cs="Times New Roman"/>
          <w:i/>
          <w:sz w:val="24"/>
          <w:szCs w:val="24"/>
        </w:rPr>
      </w:pPr>
      <w:r w:rsidRPr="000D3FC6">
        <w:rPr>
          <w:rFonts w:cs="Times New Roman"/>
          <w:i/>
          <w:sz w:val="24"/>
          <w:szCs w:val="24"/>
        </w:rPr>
        <w:t>Common Law Tribunal, Grand Jury Foreman</w:t>
      </w:r>
    </w:p>
    <w:p w:rsidR="00F87C36" w:rsidRPr="00EB66D9" w:rsidRDefault="00EB66D9" w:rsidP="005F0EE3">
      <w:pPr>
        <w:pStyle w:val="NormalWeb"/>
        <w:jc w:val="both"/>
      </w:pPr>
      <w:r w:rsidRPr="00EB66D9">
        <w:rPr>
          <w:noProof/>
        </w:rPr>
        <w:drawing>
          <wp:anchor distT="0" distB="0" distL="114300" distR="114300" simplePos="0" relativeHeight="251668480" behindDoc="1" locked="0" layoutInCell="1" allowOverlap="1" wp14:anchorId="545AA1D1" wp14:editId="33FEC324">
            <wp:simplePos x="0" y="0"/>
            <wp:positionH relativeFrom="column">
              <wp:posOffset>6350</wp:posOffset>
            </wp:positionH>
            <wp:positionV relativeFrom="paragraph">
              <wp:posOffset>127000</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EE3" w:rsidRPr="00EB66D9">
        <w:t xml:space="preserve">The purpose of this memorandum is to clarify that the </w:t>
      </w:r>
      <w:r w:rsidR="00F87C36" w:rsidRPr="00EB66D9">
        <w:t xml:space="preserve">Petit Jury, a/k/a as the King’s Bench </w:t>
      </w:r>
      <w:r w:rsidR="005F0EE3" w:rsidRPr="00EB66D9">
        <w:t xml:space="preserve">is the </w:t>
      </w:r>
      <w:r w:rsidR="003D3391" w:rsidRPr="00EB66D9">
        <w:t xml:space="preserve">sovereign </w:t>
      </w:r>
      <w:r w:rsidR="005F0EE3" w:rsidRPr="00EB66D9">
        <w:t>authority of the court</w:t>
      </w:r>
      <w:r w:rsidR="00F87C36" w:rsidRPr="00EB66D9">
        <w:t xml:space="preserve">. Any court proceeding with a </w:t>
      </w:r>
      <w:r w:rsidR="003D3391" w:rsidRPr="00EB66D9">
        <w:t>Petit J</w:t>
      </w:r>
      <w:r w:rsidR="00F87C36" w:rsidRPr="00EB66D9">
        <w:t>ury is a Court of Record that proceeds according to Natural Law a/k/a Common Law under the authority of the People</w:t>
      </w:r>
      <w:r w:rsidR="003D3391" w:rsidRPr="00EB66D9">
        <w:t>, and their decisions are final</w:t>
      </w:r>
      <w:r w:rsidR="00F87C36" w:rsidRPr="00EB66D9">
        <w:t>.</w:t>
      </w:r>
      <w:r w:rsidR="003D3391" w:rsidRPr="00EB66D9">
        <w:t xml:space="preserve"> There is no appeal from the decision of a court of record, not even the United States Supreme Court can overturn the decisions of a Court of Record. </w:t>
      </w:r>
    </w:p>
    <w:p w:rsidR="0075309E" w:rsidRPr="00EB66D9" w:rsidRDefault="00F00A7B" w:rsidP="0057672B">
      <w:pPr>
        <w:pStyle w:val="NormalWeb"/>
        <w:ind w:right="-54"/>
        <w:jc w:val="both"/>
      </w:pPr>
      <w:r w:rsidRPr="00EB66D9">
        <w:t>“</w:t>
      </w:r>
      <w:r w:rsidR="0075309E" w:rsidRPr="00EB66D9">
        <w:rPr>
          <w:i/>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court of record may not be appealed. It is binding on ALL other courts. However, no statutory or constitutional court (whether it be an appellate or </w:t>
      </w:r>
      <w:proofErr w:type="gramStart"/>
      <w:r w:rsidR="0075309E" w:rsidRPr="00EB66D9">
        <w:rPr>
          <w:i/>
        </w:rPr>
        <w:t>supreme court</w:t>
      </w:r>
      <w:proofErr w:type="gramEnd"/>
      <w:r w:rsidR="0075309E" w:rsidRPr="00EB66D9">
        <w:rPr>
          <w:i/>
        </w:rPr>
        <w:t xml:space="preserve">) can second guess the judgment of a court of record. The judgment of a court of </w:t>
      </w:r>
      <w:proofErr w:type="gramStart"/>
      <w:r w:rsidR="0075309E" w:rsidRPr="00EB66D9">
        <w:rPr>
          <w:i/>
        </w:rPr>
        <w:t>record</w:t>
      </w:r>
      <w:proofErr w:type="gramEnd"/>
      <w:r w:rsidR="0075309E" w:rsidRPr="00EB66D9">
        <w:rPr>
          <w:i/>
        </w:rPr>
        <w:t xml:space="preserve"> whose jurisdiction is final, is as conclusive on all the world as the judgment of this court would be. It is as conclusive on this court as it is on other courts. It puts an end to inquiry concerning the fact, by deciding it</w:t>
      </w:r>
      <w:r w:rsidR="0075309E" w:rsidRPr="00EB66D9">
        <w:t>.</w:t>
      </w:r>
      <w:r w:rsidRPr="00EB66D9">
        <w:t>”</w:t>
      </w:r>
    </w:p>
    <w:p w:rsidR="0057672B" w:rsidRPr="00EB66D9" w:rsidRDefault="00F00A7B" w:rsidP="0057672B">
      <w:pPr>
        <w:pStyle w:val="NormalWeb"/>
        <w:ind w:right="36"/>
        <w:jc w:val="both"/>
      </w:pPr>
      <w:r w:rsidRPr="00EB66D9">
        <w:t>“</w:t>
      </w:r>
      <w:r w:rsidR="0057672B" w:rsidRPr="00EB66D9">
        <w:rPr>
          <w:i/>
        </w:rPr>
        <w:t>A Court of Record is a judicial tribunal</w:t>
      </w:r>
      <w:r w:rsidR="00A467D9" w:rsidRPr="00EB66D9">
        <w:rPr>
          <w:i/>
        </w:rPr>
        <w:t xml:space="preserve"> </w:t>
      </w:r>
      <w:r w:rsidR="00A467D9" w:rsidRPr="00EB66D9">
        <w:t>[petit jury]</w:t>
      </w:r>
      <w:r w:rsidR="0057672B" w:rsidRPr="00EB66D9">
        <w:rPr>
          <w:i/>
        </w:rPr>
        <w:t xml:space="preserve"> having attributes and exercising functions independently of the person of the magistrate designated generally to hold it, and proceeding according to the course of common law, its acts and proceedings being enrolled for a perpetual memorial</w:t>
      </w:r>
      <w:r w:rsidRPr="00EB66D9">
        <w:t>.”</w:t>
      </w:r>
      <w:r w:rsidR="0057672B" w:rsidRPr="00EB66D9">
        <w:t xml:space="preserve"> </w:t>
      </w:r>
    </w:p>
    <w:p w:rsidR="000053BE" w:rsidRPr="00EB66D9" w:rsidRDefault="0057672B" w:rsidP="00F43B0F">
      <w:pPr>
        <w:pStyle w:val="NormalWeb"/>
        <w:jc w:val="both"/>
      </w:pPr>
      <w:r w:rsidRPr="00EB66D9">
        <w:t xml:space="preserve">Any court that proceeds with a tribunal of one or more appointed or elected judges is not a Court of Record. Any court proceeding under statutes is not a court of record. Courts that proceed under statutes with appointed or elected judges are equity courts. </w:t>
      </w:r>
      <w:r w:rsidR="00F43B0F" w:rsidRPr="00EB66D9">
        <w:t>Equity court tribunals are constituted by Congress</w:t>
      </w:r>
      <w:r w:rsidR="00207EBA" w:rsidRPr="00EB66D9">
        <w:t>, who was vested by the People,</w:t>
      </w:r>
      <w:r w:rsidR="00F43B0F" w:rsidRPr="00EB66D9">
        <w:t xml:space="preserve"> whereas t</w:t>
      </w:r>
      <w:r w:rsidR="005F0EE3" w:rsidRPr="00EB66D9">
        <w:t xml:space="preserve">he Kings bench is the tribunal </w:t>
      </w:r>
      <w:r w:rsidR="00F43B0F" w:rsidRPr="00EB66D9">
        <w:t xml:space="preserve">constituted by natures’ God composed </w:t>
      </w:r>
      <w:r w:rsidR="005F0EE3" w:rsidRPr="00EB66D9">
        <w:t>of</w:t>
      </w:r>
      <w:r w:rsidR="00520D36" w:rsidRPr="00EB66D9">
        <w:t xml:space="preserve"> twelve </w:t>
      </w:r>
      <w:r w:rsidR="005F0EE3" w:rsidRPr="00EB66D9">
        <w:t>sovereign</w:t>
      </w:r>
      <w:r w:rsidR="00520D36" w:rsidRPr="00EB66D9">
        <w:t xml:space="preserve"> People </w:t>
      </w:r>
      <w:r w:rsidR="004B7926" w:rsidRPr="00EB66D9">
        <w:t xml:space="preserve">vested by God </w:t>
      </w:r>
      <w:r w:rsidR="00520D36" w:rsidRPr="00EB66D9">
        <w:t>with the power to fine or imprison for contempt, functioning independently of the person of the magistrate [</w:t>
      </w:r>
      <w:r w:rsidR="004B7926" w:rsidRPr="00EB66D9">
        <w:rPr>
          <w:i/>
        </w:rPr>
        <w:t>clerk of the court</w:t>
      </w:r>
      <w:r w:rsidR="00520D36" w:rsidRPr="00EB66D9">
        <w:t>] and whose decisions are to mirror the</w:t>
      </w:r>
      <w:r w:rsidR="0075309E" w:rsidRPr="00EB66D9">
        <w:t xml:space="preserve"> will of the</w:t>
      </w:r>
      <w:r w:rsidR="00520D36" w:rsidRPr="00EB66D9">
        <w:t xml:space="preserve"> King of Kings </w:t>
      </w:r>
      <w:r w:rsidR="0075309E" w:rsidRPr="00EB66D9">
        <w:t xml:space="preserve">to do Justice </w:t>
      </w:r>
      <w:r w:rsidR="00520D36" w:rsidRPr="00EB66D9">
        <w:t>via Natural Law</w:t>
      </w:r>
      <w:r w:rsidR="00BB275F" w:rsidRPr="00EB66D9">
        <w:t xml:space="preserve"> that is written in the hearts of all men</w:t>
      </w:r>
      <w:r w:rsidR="00520D36" w:rsidRPr="00EB66D9">
        <w:t>.</w:t>
      </w:r>
      <w:r w:rsidR="008B2ED1" w:rsidRPr="00EB66D9">
        <w:t xml:space="preserve"> </w:t>
      </w:r>
      <w:r w:rsidR="005F0EE3" w:rsidRPr="00EB66D9">
        <w:t xml:space="preserve">Whenever the Kings </w:t>
      </w:r>
      <w:r w:rsidR="000053BE" w:rsidRPr="00EB66D9">
        <w:t>b</w:t>
      </w:r>
      <w:r w:rsidR="005F0EE3" w:rsidRPr="00EB66D9">
        <w:t xml:space="preserve">ench is impaneled </w:t>
      </w:r>
      <w:r w:rsidR="00F00A7B" w:rsidRPr="00EB66D9">
        <w:t>“</w:t>
      </w:r>
      <w:r w:rsidR="005F0EE3" w:rsidRPr="00EB66D9">
        <w:t>by the people</w:t>
      </w:r>
      <w:r w:rsidR="00F00A7B" w:rsidRPr="00EB66D9">
        <w:t>”</w:t>
      </w:r>
      <w:r w:rsidR="005F0EE3" w:rsidRPr="00EB66D9">
        <w:t xml:space="preserve"> a Court of Record is open whether it is in its investigative role </w:t>
      </w:r>
      <w:r w:rsidR="004B7926" w:rsidRPr="00EB66D9">
        <w:t xml:space="preserve">as </w:t>
      </w:r>
      <w:r w:rsidR="005F0EE3" w:rsidRPr="00EB66D9">
        <w:t xml:space="preserve">Grand Jury or in its trial mode </w:t>
      </w:r>
      <w:r w:rsidR="004B7926" w:rsidRPr="00EB66D9">
        <w:t xml:space="preserve">as </w:t>
      </w:r>
      <w:r w:rsidR="005F0EE3" w:rsidRPr="00EB66D9">
        <w:t xml:space="preserve">Petit Jury its authority, power, judgments, and jurisdiction is final and cannot be challenged or overturned. </w:t>
      </w:r>
    </w:p>
    <w:p w:rsidR="005F0EE3" w:rsidRPr="00EB66D9" w:rsidRDefault="005F0EE3" w:rsidP="00F43B0F">
      <w:pPr>
        <w:pStyle w:val="NormalWeb"/>
        <w:jc w:val="both"/>
      </w:pPr>
      <w:r w:rsidRPr="00EB66D9">
        <w:t>All courts not of record are inferior courts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p>
    <w:p w:rsidR="00950B0D" w:rsidRPr="00EB66D9" w:rsidRDefault="00207EBA" w:rsidP="00950B0D">
      <w:pPr>
        <w:pStyle w:val="Style"/>
        <w:spacing w:after="240" w:line="276" w:lineRule="auto"/>
        <w:jc w:val="center"/>
        <w:rPr>
          <w:rFonts w:asciiTheme="minorHAnsi" w:hAnsiTheme="minorHAnsi" w:cstheme="minorHAnsi"/>
          <w:b/>
          <w:smallCaps/>
        </w:rPr>
      </w:pPr>
      <w:r w:rsidRPr="00EB66D9">
        <w:rPr>
          <w:rFonts w:asciiTheme="minorHAnsi" w:hAnsiTheme="minorHAnsi" w:cstheme="minorHAnsi"/>
          <w:b/>
          <w:smallCaps/>
        </w:rPr>
        <w:t>T</w:t>
      </w:r>
      <w:r w:rsidR="00BE2F3C" w:rsidRPr="00EB66D9">
        <w:rPr>
          <w:rFonts w:asciiTheme="minorHAnsi" w:hAnsiTheme="minorHAnsi" w:cstheme="minorHAnsi"/>
          <w:b/>
          <w:smallCaps/>
        </w:rPr>
        <w:t>he People are the Author &amp; Source of Law</w:t>
      </w:r>
      <w:r w:rsidR="00BE2F3C" w:rsidRPr="00EB66D9">
        <w:rPr>
          <w:b/>
          <w:smallCaps/>
        </w:rPr>
        <w:t xml:space="preserve"> </w:t>
      </w:r>
    </w:p>
    <w:p w:rsidR="00950B0D" w:rsidRPr="00EB66D9" w:rsidRDefault="00F00A7B" w:rsidP="00207EBA">
      <w:pPr>
        <w:pStyle w:val="NormalWeb"/>
        <w:spacing w:line="276" w:lineRule="auto"/>
        <w:jc w:val="both"/>
        <w:rPr>
          <w:i/>
        </w:rPr>
      </w:pPr>
      <w:r w:rsidRPr="00EB66D9">
        <w:t>“</w:t>
      </w:r>
      <w:r w:rsidR="00207EBA" w:rsidRPr="00EB66D9">
        <w:rPr>
          <w:i/>
        </w:rPr>
        <w:t xml:space="preserve">The constitutions of most of our states assert that all power is inherent in the people; that they may exercise it by themselves, in all cases to which they think themselves competent, as in electing their functionaries executive and legislative, and deciding by a jury of themselves, both fact and law, in all </w:t>
      </w:r>
      <w:r w:rsidR="00207EBA" w:rsidRPr="00EB66D9">
        <w:rPr>
          <w:i/>
        </w:rPr>
        <w:lastRenderedPageBreak/>
        <w:t>judiciary cases in which any fact is involved</w:t>
      </w:r>
      <w:r w:rsidR="00207EBA" w:rsidRPr="00EB66D9">
        <w:t xml:space="preserve"> …</w:t>
      </w:r>
      <w:r w:rsidRPr="00EB66D9">
        <w:t>”</w:t>
      </w:r>
      <w:r w:rsidR="00207EBA" w:rsidRPr="00EB66D9">
        <w:t xml:space="preserve"> </w:t>
      </w:r>
      <w:r w:rsidRPr="00EB66D9">
        <w:rPr>
          <w:i/>
        </w:rPr>
        <w:t>“</w:t>
      </w:r>
      <w:r w:rsidR="00207EBA" w:rsidRPr="00EB66D9">
        <w:rPr>
          <w:i/>
        </w:rPr>
        <w:t>The people of this State, as the successors of its former sovereign, are entitled to all the rights which formerly belonged to the King by his prerogative</w:t>
      </w:r>
      <w:r w:rsidR="00207EBA" w:rsidRPr="00EB66D9">
        <w:t>.</w:t>
      </w:r>
      <w:r w:rsidRPr="00EB66D9">
        <w:t>”</w:t>
      </w:r>
      <w:r w:rsidR="00207EBA" w:rsidRPr="00EB66D9">
        <w:t xml:space="preserve"> </w:t>
      </w:r>
      <w:r w:rsidR="00207EBA" w:rsidRPr="00EB66D9">
        <w:rPr>
          <w:i/>
        </w:rPr>
        <w:t xml:space="preserve">And </w:t>
      </w:r>
      <w:r w:rsidRPr="00EB66D9">
        <w:t>“</w:t>
      </w:r>
      <w:r w:rsidR="00207EBA" w:rsidRPr="00EB66D9">
        <w:rPr>
          <w:i/>
        </w:rPr>
        <w:t>the state cannot diminish the rights of the people</w:t>
      </w:r>
      <w:r w:rsidR="00207EBA" w:rsidRPr="00EB66D9">
        <w:t>.</w:t>
      </w:r>
      <w:r w:rsidRPr="00EB66D9">
        <w:t>”</w:t>
      </w:r>
      <w:r w:rsidR="00207EBA" w:rsidRPr="00EB66D9">
        <w:t xml:space="preserve"> </w:t>
      </w:r>
      <w:r w:rsidRPr="00EB66D9">
        <w:t>“</w:t>
      </w:r>
      <w:r w:rsidR="00207EBA" w:rsidRPr="00EB66D9">
        <w:rPr>
          <w:i/>
        </w:rPr>
        <w:t>Supreme sovereignty is in the people and no authority can, on any pretense whatsoever, be exercised over the citizens of this state, but such as is or shall be derived from and granted by the people of this state</w:t>
      </w:r>
      <w:r w:rsidR="00207EBA" w:rsidRPr="00EB66D9">
        <w:t>.</w:t>
      </w:r>
      <w:r w:rsidRPr="00EB66D9">
        <w:t>” “</w:t>
      </w:r>
      <w:r w:rsidR="00950B0D" w:rsidRPr="00EB66D9">
        <w:rPr>
          <w:i/>
        </w:rPr>
        <w:t>Sovereignty itself is, of course, not subject to</w:t>
      </w:r>
      <w:r w:rsidR="00207EBA" w:rsidRPr="00EB66D9">
        <w:rPr>
          <w:i/>
        </w:rPr>
        <w:t xml:space="preserve"> </w:t>
      </w:r>
      <w:r w:rsidR="00207EBA" w:rsidRPr="00EB66D9">
        <w:t>[legislative]</w:t>
      </w:r>
      <w:r w:rsidRPr="00EB66D9">
        <w:rPr>
          <w:i/>
        </w:rPr>
        <w:t xml:space="preserve"> </w:t>
      </w:r>
      <w:r w:rsidR="00950B0D" w:rsidRPr="00EB66D9">
        <w:rPr>
          <w:i/>
        </w:rPr>
        <w:t>law, for it is the author and source of law; but in our system, while sovereign powers are delegated to the agencies of government, sovereignty itself remains with the people, by whom and for whom all government exists and acts, And the law is the definition and limitation of power…</w:t>
      </w:r>
      <w:r w:rsidRPr="00EB66D9">
        <w:t>”</w:t>
      </w:r>
      <w:r w:rsidR="00950B0D" w:rsidRPr="00EB66D9">
        <w:t xml:space="preserve"> </w:t>
      </w:r>
      <w:r w:rsidRPr="00EB66D9">
        <w:t>“</w:t>
      </w:r>
      <w:r w:rsidR="00950B0D" w:rsidRPr="00EB66D9">
        <w:rPr>
          <w:i/>
        </w:rPr>
        <w:t>'Sovereignty' means that the decree of sovereign makes law, and foreign courts cannot condemn influences persuading sovereign to make the decree.</w:t>
      </w:r>
      <w:r w:rsidRPr="00EB66D9">
        <w:rPr>
          <w:i/>
        </w:rPr>
        <w:t>”</w:t>
      </w:r>
      <w:r w:rsidR="00950B0D" w:rsidRPr="00EB66D9">
        <w:rPr>
          <w:i/>
        </w:rPr>
        <w:t xml:space="preserve"> </w:t>
      </w:r>
    </w:p>
    <w:p w:rsidR="00950B0D" w:rsidRPr="00EB66D9" w:rsidRDefault="00F00A7B" w:rsidP="001E5A71">
      <w:pPr>
        <w:pStyle w:val="NormalWeb"/>
        <w:spacing w:line="276" w:lineRule="auto"/>
        <w:jc w:val="both"/>
      </w:pPr>
      <w:r w:rsidRPr="00EB66D9">
        <w:t>“</w:t>
      </w:r>
      <w:r w:rsidR="001E5A71" w:rsidRPr="00EB66D9">
        <w:rPr>
          <w:i/>
        </w:rPr>
        <w:t>For more than six hundred years--that is, since Magna Carta, in 1215, there has been no clearer principle of English or American constitutional law, than that, in criminal cases, it is not only the right and duty of juries to judge what are the facts, what is the law, and what was the moral intent of the accused; but that it is also their right, and their primary and paramount duty, to judge of the justice of the law, and to hold all laws invalid, that are, in their opinion, unjust or oppressive, and all persons guiltless in violating, or resisting the execution of, such laws.</w:t>
      </w:r>
      <w:r w:rsidRPr="00EB66D9">
        <w:t>”</w:t>
      </w:r>
      <w:r w:rsidR="001E5A71" w:rsidRPr="00EB66D9">
        <w:rPr>
          <w:rStyle w:val="FootnoteReference"/>
        </w:rPr>
        <w:t xml:space="preserve"> </w:t>
      </w:r>
      <w:r w:rsidRPr="00EB66D9">
        <w:t>“</w:t>
      </w:r>
      <w:r w:rsidR="001E5A71" w:rsidRPr="00EB66D9">
        <w:rPr>
          <w:i/>
        </w:rPr>
        <w:t>The pages of history shine on instances of the jury's exercise of its prerogative to disregard instructions of the judge</w:t>
      </w:r>
      <w:r w:rsidRPr="00EB66D9">
        <w:t>”</w:t>
      </w:r>
      <w:r w:rsidR="001E5A71" w:rsidRPr="00EB66D9">
        <w:t xml:space="preserve">. </w:t>
      </w:r>
      <w:r w:rsidRPr="00EB66D9">
        <w:rPr>
          <w:i/>
        </w:rPr>
        <w:t>“</w:t>
      </w:r>
      <w:r w:rsidR="001E5A71" w:rsidRPr="00EB66D9">
        <w:rPr>
          <w:i/>
        </w:rPr>
        <w:t>It is presumed, that the juries are the best judges of facts; it is, on the other hand, presumed that the courts are the best judges of law. But still, both objects are within your power of decision. You have a right to take upon yourselves to judge of both, and to determine the law as well as the fact in controversy</w:t>
      </w:r>
      <w:r w:rsidR="001E5A71" w:rsidRPr="00EB66D9">
        <w:t>.</w:t>
      </w:r>
      <w:r w:rsidRPr="00EB66D9">
        <w:t>”</w:t>
      </w:r>
    </w:p>
    <w:p w:rsidR="001E5A71" w:rsidRPr="00EB66D9" w:rsidRDefault="00F00A7B" w:rsidP="001E5A71">
      <w:pPr>
        <w:pStyle w:val="NormalWeb"/>
        <w:spacing w:line="276" w:lineRule="auto"/>
        <w:jc w:val="both"/>
      </w:pPr>
      <w:r w:rsidRPr="00EB66D9">
        <w:t>“</w:t>
      </w:r>
      <w:r w:rsidR="001E5A71" w:rsidRPr="00EB66D9">
        <w:rPr>
          <w:i/>
        </w:rPr>
        <w:t>The bounds set to the power of the government, by the trial by jury, as will hereafter be shown, are these -- that the government shall never touch the property, person, or natural or civil rights of an individual, against his consent, except for the purpose of bringing them before a jury for trial, unless in pursuance and execution of a judgment, or decree, rendered by a jury in each individual case, upon such evidence, and such law, as are satisfactory to their own understandings and consciences, irrespective of all legislation of the government.</w:t>
      </w:r>
      <w:r w:rsidRPr="00EB66D9">
        <w:t>”</w:t>
      </w:r>
      <w:r w:rsidR="001E5A71" w:rsidRPr="00EB66D9">
        <w:rPr>
          <w:rStyle w:val="FootnoteReference"/>
        </w:rPr>
        <w:t xml:space="preserve"> </w:t>
      </w:r>
      <w:r w:rsidRPr="00EB66D9">
        <w:t>“</w:t>
      </w:r>
      <w:r w:rsidR="001E5A71" w:rsidRPr="00EB66D9">
        <w:rPr>
          <w:i/>
        </w:rPr>
        <w:t>To consider the judges as the ultimate arbiters of all constitutional questions is a very dangerous doctrine indeed, and one which would place us under the despotism of an oligarchy</w:t>
      </w:r>
      <w:r w:rsidR="001E5A71" w:rsidRPr="00EB66D9">
        <w:t>.</w:t>
      </w:r>
      <w:r w:rsidRPr="00EB66D9">
        <w:t>”</w:t>
      </w:r>
      <w:r w:rsidR="001E5A71" w:rsidRPr="00EB66D9">
        <w:t xml:space="preserve"> </w:t>
      </w:r>
      <w:r w:rsidRPr="00EB66D9">
        <w:t>“</w:t>
      </w:r>
      <w:r w:rsidR="001E5A71" w:rsidRPr="00EB66D9">
        <w:rPr>
          <w:i/>
        </w:rPr>
        <w:t>If a juror accepts as the law that which the judge states then that juror has accepted the exercise of absolute authority of a government employee and has surrendered a power and right that once was the citizen's safeguard of liberty, -- For the saddest epitaph which can be carved in memory of a vanished liberty is that it was lost because its possessors failed to stretch forth a saving hand while yet there was time</w:t>
      </w:r>
      <w:r w:rsidR="001E5A71" w:rsidRPr="00EB66D9">
        <w:t>.</w:t>
      </w:r>
      <w:r w:rsidRPr="00EB66D9">
        <w:t>”</w:t>
      </w:r>
    </w:p>
    <w:p w:rsidR="00950B0D" w:rsidRPr="00EB66D9" w:rsidRDefault="009131E5" w:rsidP="00950B0D">
      <w:pPr>
        <w:pStyle w:val="NormalWeb"/>
        <w:jc w:val="center"/>
        <w:rPr>
          <w:b/>
          <w:smallCaps/>
        </w:rPr>
      </w:pPr>
      <w:r w:rsidRPr="00EB66D9">
        <w:rPr>
          <w:b/>
          <w:smallCaps/>
        </w:rPr>
        <w:t xml:space="preserve">Peoples’ Right of </w:t>
      </w:r>
      <w:r w:rsidR="00950B0D" w:rsidRPr="00EB66D9">
        <w:rPr>
          <w:b/>
          <w:smallCaps/>
        </w:rPr>
        <w:t xml:space="preserve">Extraordinary </w:t>
      </w:r>
      <w:r w:rsidRPr="00EB66D9">
        <w:rPr>
          <w:b/>
          <w:smallCaps/>
        </w:rPr>
        <w:t>W</w:t>
      </w:r>
      <w:r w:rsidR="00950B0D" w:rsidRPr="00EB66D9">
        <w:rPr>
          <w:b/>
          <w:smallCaps/>
        </w:rPr>
        <w:t>rits</w:t>
      </w:r>
    </w:p>
    <w:p w:rsidR="009131E5" w:rsidRPr="00EB66D9" w:rsidRDefault="00950B0D" w:rsidP="009131E5">
      <w:pPr>
        <w:pStyle w:val="NormalWeb"/>
        <w:jc w:val="both"/>
      </w:pPr>
      <w:r w:rsidRPr="00EB66D9">
        <w:rPr>
          <w:b/>
          <w:smallCaps/>
        </w:rPr>
        <w:t>Extraordinary writs</w:t>
      </w:r>
      <w:r w:rsidRPr="00EB66D9">
        <w:t xml:space="preserve"> emanate from the Kings </w:t>
      </w:r>
      <w:r w:rsidR="000053BE" w:rsidRPr="00EB66D9">
        <w:t>b</w:t>
      </w:r>
      <w:r w:rsidRPr="00EB66D9">
        <w:t>ench</w:t>
      </w:r>
      <w:r w:rsidR="00C72A67" w:rsidRPr="00EB66D9">
        <w:t>,</w:t>
      </w:r>
      <w:r w:rsidR="00340F21" w:rsidRPr="00EB66D9">
        <w:t xml:space="preserve"> </w:t>
      </w:r>
      <w:r w:rsidR="00C72A67" w:rsidRPr="00EB66D9">
        <w:t>they are a</w:t>
      </w:r>
      <w:r w:rsidR="009131E5" w:rsidRPr="00EB66D9">
        <w:t xml:space="preserve"> precept in writing, couched in the form of a letter, running in the name of the </w:t>
      </w:r>
      <w:r w:rsidR="009C2C62" w:rsidRPr="00EB66D9">
        <w:t>K</w:t>
      </w:r>
      <w:r w:rsidR="009131E5" w:rsidRPr="00EB66D9">
        <w:t>ing</w:t>
      </w:r>
      <w:r w:rsidR="00C72A67" w:rsidRPr="00EB66D9">
        <w:t xml:space="preserve"> </w:t>
      </w:r>
      <w:r w:rsidR="009131E5" w:rsidRPr="00EB66D9">
        <w:t>issuing from a court of justice, and sealed with its seal, addressed to a sheriff or other officer of the law, or directly to the person whose action the court desires to command, either as the commencement of a suit or other proceeding or as incidental to its progress, and requiring the performance of a specified act, or giving authority and commission to have it done.</w:t>
      </w:r>
    </w:p>
    <w:p w:rsidR="009131E5" w:rsidRPr="00EB66D9" w:rsidRDefault="009131E5" w:rsidP="009131E5">
      <w:pPr>
        <w:pStyle w:val="NormalWeb"/>
        <w:jc w:val="both"/>
      </w:pPr>
      <w:r w:rsidRPr="00EB66D9">
        <w:rPr>
          <w:b/>
          <w:smallCaps/>
        </w:rPr>
        <w:lastRenderedPageBreak/>
        <w:t>Prerogative writs</w:t>
      </w:r>
      <w:r w:rsidR="00C72A67" w:rsidRPr="00EB66D9">
        <w:t xml:space="preserve"> are t</w:t>
      </w:r>
      <w:r w:rsidRPr="00EB66D9">
        <w:t xml:space="preserve">hose issued by the exercise of the extraordinary power of the crown </w:t>
      </w:r>
      <w:r w:rsidR="00C72A67" w:rsidRPr="00EB66D9">
        <w:t xml:space="preserve">[Kings Bench] </w:t>
      </w:r>
      <w:r w:rsidRPr="00EB66D9">
        <w:t xml:space="preserve">on proper cause shown; namely, the writs of </w:t>
      </w:r>
      <w:proofErr w:type="spellStart"/>
      <w:r w:rsidRPr="00EB66D9">
        <w:t>procedendo</w:t>
      </w:r>
      <w:proofErr w:type="spellEnd"/>
      <w:r w:rsidRPr="00EB66D9">
        <w:t>, mandamus, prohibition, quo warranto, habeas corpus, and certiorari.</w:t>
      </w:r>
    </w:p>
    <w:p w:rsidR="00950B0D" w:rsidRPr="00EB66D9" w:rsidRDefault="009131E5" w:rsidP="009131E5">
      <w:pPr>
        <w:pStyle w:val="NormalWeb"/>
        <w:jc w:val="both"/>
      </w:pPr>
      <w:r w:rsidRPr="00EB66D9">
        <w:rPr>
          <w:b/>
          <w:smallCaps/>
        </w:rPr>
        <w:t>Writ of Mandamus</w:t>
      </w:r>
      <w:r w:rsidR="00C72A67" w:rsidRPr="00EB66D9">
        <w:t xml:space="preserve"> is </w:t>
      </w:r>
      <w:r w:rsidRPr="00EB66D9">
        <w:t>Lat</w:t>
      </w:r>
      <w:r w:rsidR="00C72A67" w:rsidRPr="00EB66D9">
        <w:t xml:space="preserve">in </w:t>
      </w:r>
      <w:r w:rsidR="00F00A7B" w:rsidRPr="00EB66D9">
        <w:t>“</w:t>
      </w:r>
      <w:r w:rsidRPr="00EB66D9">
        <w:t>We command</w:t>
      </w:r>
      <w:r w:rsidR="00F00A7B" w:rsidRPr="00EB66D9">
        <w:t>.”</w:t>
      </w:r>
      <w:r w:rsidRPr="00EB66D9">
        <w:t xml:space="preserve"> This is the name of a writ (formerly a high prerogative writ) which issues from a court of superior jurisdiction, and is directed to a private or municipal corporation, or any of its officers, or to an executive, administrative or judicial officer, or to an inferior court, commanding the performance of a particular act therein specified, and belonging to his or their public, official, or ministerial duty, or directing the restoration of the complainant to rights or privileges of which he has been illegally deprived. The writ of mandamus is either peremptory or alternative, according as it requires the defendant absolutely to obey its behest, or gives him an opportunity to show cause to the contrary. It is the usual practice to issue the alternative writ first. This commands the defendant to do the particular act, or else to appear and show cause against it at a day named. If he neglects to obey the writ, and either makes default in his appearance or fails to show good cause against the application, the peremptory mandamus issues, which commands him absolutely and without qualification to do the act.</w:t>
      </w:r>
    </w:p>
    <w:p w:rsidR="00DE4EA4" w:rsidRPr="00EB66D9" w:rsidRDefault="00AD4626" w:rsidP="00AD4626">
      <w:pPr>
        <w:pStyle w:val="NormalWeb"/>
        <w:ind w:hanging="180"/>
        <w:jc w:val="both"/>
      </w:pPr>
      <w:r w:rsidRPr="00EB66D9">
        <w:rPr>
          <w:b/>
          <w:smallCaps/>
        </w:rPr>
        <w:t>In Conclusion</w:t>
      </w:r>
      <w:r w:rsidRPr="00EB66D9">
        <w:t xml:space="preserve"> </w:t>
      </w:r>
      <w:r w:rsidR="00147811" w:rsidRPr="00EB66D9">
        <w:t xml:space="preserve">Amendment V states that; </w:t>
      </w:r>
      <w:r w:rsidR="00F00A7B" w:rsidRPr="00EB66D9">
        <w:t>“</w:t>
      </w:r>
      <w:r w:rsidR="00147811" w:rsidRPr="00EB66D9">
        <w:t>n</w:t>
      </w:r>
      <w:r w:rsidR="005F0EE3" w:rsidRPr="00EB66D9">
        <w:t>o person shall be held to answer for a capital, or otherwise infamous crime, unless on a presentment or indictment of a Grand Jury… nor be deprived of life, liberty, or property, without due process of law;</w:t>
      </w:r>
      <w:r w:rsidR="00F00A7B" w:rsidRPr="00EB66D9">
        <w:t>”</w:t>
      </w:r>
      <w:r w:rsidR="00147811" w:rsidRPr="00EB66D9">
        <w:t xml:space="preserve"> </w:t>
      </w:r>
      <w:r w:rsidR="002703B2" w:rsidRPr="00EB66D9">
        <w:t>Amendment VI provides that i</w:t>
      </w:r>
      <w:r w:rsidR="00263E73" w:rsidRPr="00EB66D9">
        <w:t>n all criminal prosecutions, the accused shall enjoy the right to a speedy and public trial, by an impartial jury… and to be informed of the nature and cause of the accusation</w:t>
      </w:r>
      <w:r w:rsidR="00147811" w:rsidRPr="00EB66D9">
        <w:t xml:space="preserve"> an</w:t>
      </w:r>
      <w:r w:rsidR="00263E73" w:rsidRPr="00EB66D9">
        <w:t xml:space="preserve"> to be confronted with the witnesses against him.</w:t>
      </w:r>
      <w:r w:rsidR="00F00A7B" w:rsidRPr="00EB66D9">
        <w:t>”</w:t>
      </w:r>
      <w:r w:rsidR="00263E73" w:rsidRPr="00EB66D9">
        <w:t xml:space="preserve"> </w:t>
      </w:r>
      <w:r w:rsidR="00DE4EA4" w:rsidRPr="00EB66D9">
        <w:t>And, Amendment VII prevents a</w:t>
      </w:r>
      <w:r w:rsidR="00263E73" w:rsidRPr="00EB66D9">
        <w:t xml:space="preserve"> judge</w:t>
      </w:r>
      <w:r w:rsidR="00DE4EA4" w:rsidRPr="00EB66D9">
        <w:t xml:space="preserve"> from</w:t>
      </w:r>
      <w:r w:rsidR="00263E73" w:rsidRPr="00EB66D9">
        <w:t xml:space="preserve"> </w:t>
      </w:r>
      <w:r w:rsidR="00600678" w:rsidRPr="00EB66D9">
        <w:t xml:space="preserve">trespassing on the case by </w:t>
      </w:r>
      <w:r w:rsidR="00263E73" w:rsidRPr="00EB66D9">
        <w:t>second guess</w:t>
      </w:r>
      <w:r w:rsidR="00DE4EA4" w:rsidRPr="00EB66D9">
        <w:t>ing</w:t>
      </w:r>
      <w:r w:rsidR="00263E73" w:rsidRPr="00EB66D9">
        <w:t xml:space="preserve"> or overturn</w:t>
      </w:r>
      <w:r w:rsidR="00147811" w:rsidRPr="00EB66D9">
        <w:t>ing</w:t>
      </w:r>
      <w:r w:rsidR="00263E73" w:rsidRPr="00EB66D9">
        <w:t xml:space="preserve"> </w:t>
      </w:r>
      <w:r w:rsidR="00600678" w:rsidRPr="00EB66D9">
        <w:t xml:space="preserve">Jury </w:t>
      </w:r>
      <w:r w:rsidR="00263E73" w:rsidRPr="00EB66D9">
        <w:t>decision</w:t>
      </w:r>
      <w:r w:rsidR="00600678" w:rsidRPr="00EB66D9">
        <w:t>s</w:t>
      </w:r>
      <w:r w:rsidR="00147811" w:rsidRPr="00EB66D9">
        <w:t xml:space="preserve">. </w:t>
      </w:r>
      <w:r w:rsidR="00F00A7B" w:rsidRPr="00EB66D9">
        <w:t>“</w:t>
      </w:r>
      <w:r w:rsidR="00147811" w:rsidRPr="00EB66D9">
        <w:t>T</w:t>
      </w:r>
      <w:r w:rsidR="00263E73" w:rsidRPr="00EB66D9">
        <w:t>he right of trial by jury shall be preserved, and no fact tried by a jury, shall be otherwise reexamined in any Court of the United States, than according to the rules of the common law.</w:t>
      </w:r>
      <w:r w:rsidR="00F00A7B" w:rsidRPr="00EB66D9">
        <w:t>”</w:t>
      </w:r>
      <w:r w:rsidR="00263E73" w:rsidRPr="00EB66D9">
        <w:t xml:space="preserve"> </w:t>
      </w:r>
      <w:r w:rsidR="00DE4EA4" w:rsidRPr="00EB66D9">
        <w:t xml:space="preserve">Statutory courts </w:t>
      </w:r>
      <w:r w:rsidR="00147811" w:rsidRPr="00EB66D9">
        <w:t>that</w:t>
      </w:r>
      <w:r w:rsidR="00DE4EA4" w:rsidRPr="00EB66D9">
        <w:t xml:space="preserve"> second guess the judgment of a court of record are subject to collateral attack by the court of record.</w:t>
      </w:r>
    </w:p>
    <w:p w:rsidR="00AD4626" w:rsidRPr="00EB66D9" w:rsidRDefault="00AD4626" w:rsidP="00AD4626">
      <w:pPr>
        <w:pStyle w:val="NormalWeb"/>
        <w:ind w:hanging="180"/>
        <w:jc w:val="both"/>
      </w:pPr>
    </w:p>
    <w:sectPr w:rsidR="00AD4626" w:rsidRPr="00EB66D9" w:rsidSect="00EB66D9">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CA" w:rsidRDefault="000701CA" w:rsidP="00EA406E">
      <w:pPr>
        <w:spacing w:after="0" w:line="240" w:lineRule="auto"/>
      </w:pPr>
      <w:r>
        <w:separator/>
      </w:r>
    </w:p>
  </w:endnote>
  <w:endnote w:type="continuationSeparator" w:id="0">
    <w:p w:rsidR="000701CA" w:rsidRDefault="000701CA" w:rsidP="00E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Medium">
    <w:altName w:val="Optima Medium"/>
    <w:panose1 w:val="00000000000000000000"/>
    <w:charset w:val="00"/>
    <w:family w:val="swiss"/>
    <w:notTrueType/>
    <w:pitch w:val="default"/>
    <w:sig w:usb0="00000003" w:usb1="00000000" w:usb2="00000000" w:usb3="00000000" w:csb0="00000001" w:csb1="00000000"/>
  </w:font>
  <w:font w:name="Usherwood Book">
    <w:altName w:val="Usherwood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CA" w:rsidRDefault="000701CA" w:rsidP="00EA406E">
      <w:pPr>
        <w:spacing w:after="0" w:line="240" w:lineRule="auto"/>
      </w:pPr>
      <w:r>
        <w:separator/>
      </w:r>
    </w:p>
  </w:footnote>
  <w:footnote w:type="continuationSeparator" w:id="0">
    <w:p w:rsidR="000701CA" w:rsidRDefault="000701CA" w:rsidP="00EA4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9AF"/>
    <w:multiLevelType w:val="hybridMultilevel"/>
    <w:tmpl w:val="7B6E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F32F0"/>
    <w:multiLevelType w:val="hybridMultilevel"/>
    <w:tmpl w:val="9F3C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35717"/>
    <w:multiLevelType w:val="hybridMultilevel"/>
    <w:tmpl w:val="8BDAA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D5B07"/>
    <w:multiLevelType w:val="hybridMultilevel"/>
    <w:tmpl w:val="1040B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B0A12"/>
    <w:multiLevelType w:val="hybridMultilevel"/>
    <w:tmpl w:val="381AB25C"/>
    <w:lvl w:ilvl="0" w:tplc="0F4045E2">
      <w:start w:val="1"/>
      <w:numFmt w:val="decimal"/>
      <w:lvlText w:val="(%1)"/>
      <w:lvlJc w:val="left"/>
      <w:pPr>
        <w:ind w:left="756" w:hanging="39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0554F"/>
    <w:multiLevelType w:val="hybridMultilevel"/>
    <w:tmpl w:val="F16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E7"/>
    <w:rsid w:val="0000350A"/>
    <w:rsid w:val="0000409C"/>
    <w:rsid w:val="000053BE"/>
    <w:rsid w:val="00012DDC"/>
    <w:rsid w:val="00012FD9"/>
    <w:rsid w:val="00016F01"/>
    <w:rsid w:val="000256C9"/>
    <w:rsid w:val="000417D8"/>
    <w:rsid w:val="000603B6"/>
    <w:rsid w:val="000701CA"/>
    <w:rsid w:val="00097B6E"/>
    <w:rsid w:val="000A2B9F"/>
    <w:rsid w:val="000B51A5"/>
    <w:rsid w:val="000C3EDB"/>
    <w:rsid w:val="000E3DF9"/>
    <w:rsid w:val="0010684C"/>
    <w:rsid w:val="0013049D"/>
    <w:rsid w:val="00131965"/>
    <w:rsid w:val="00140E4D"/>
    <w:rsid w:val="00147811"/>
    <w:rsid w:val="00156712"/>
    <w:rsid w:val="00174C9E"/>
    <w:rsid w:val="00175A88"/>
    <w:rsid w:val="00191B27"/>
    <w:rsid w:val="001D7195"/>
    <w:rsid w:val="001E5A71"/>
    <w:rsid w:val="00203FD6"/>
    <w:rsid w:val="00207EBA"/>
    <w:rsid w:val="00224227"/>
    <w:rsid w:val="002259EF"/>
    <w:rsid w:val="002379F3"/>
    <w:rsid w:val="00244613"/>
    <w:rsid w:val="00255FA7"/>
    <w:rsid w:val="00257BC3"/>
    <w:rsid w:val="00260D39"/>
    <w:rsid w:val="00263E73"/>
    <w:rsid w:val="00266958"/>
    <w:rsid w:val="002703B2"/>
    <w:rsid w:val="00280D92"/>
    <w:rsid w:val="002914C2"/>
    <w:rsid w:val="00294614"/>
    <w:rsid w:val="002B2D43"/>
    <w:rsid w:val="002B3056"/>
    <w:rsid w:val="002D73F5"/>
    <w:rsid w:val="002F4024"/>
    <w:rsid w:val="002F7123"/>
    <w:rsid w:val="003002BE"/>
    <w:rsid w:val="0030512D"/>
    <w:rsid w:val="003064FE"/>
    <w:rsid w:val="00313762"/>
    <w:rsid w:val="00340F21"/>
    <w:rsid w:val="003411CF"/>
    <w:rsid w:val="00351A95"/>
    <w:rsid w:val="00352D62"/>
    <w:rsid w:val="003B673A"/>
    <w:rsid w:val="003C50F4"/>
    <w:rsid w:val="003D3391"/>
    <w:rsid w:val="003E3C6B"/>
    <w:rsid w:val="00416494"/>
    <w:rsid w:val="0041661A"/>
    <w:rsid w:val="00426C8A"/>
    <w:rsid w:val="00431312"/>
    <w:rsid w:val="00433A70"/>
    <w:rsid w:val="00440DB0"/>
    <w:rsid w:val="00450478"/>
    <w:rsid w:val="00481370"/>
    <w:rsid w:val="00494B3D"/>
    <w:rsid w:val="00497865"/>
    <w:rsid w:val="004B7926"/>
    <w:rsid w:val="004D3D33"/>
    <w:rsid w:val="004D4971"/>
    <w:rsid w:val="004D6B62"/>
    <w:rsid w:val="004F65C0"/>
    <w:rsid w:val="00507DB4"/>
    <w:rsid w:val="00520D36"/>
    <w:rsid w:val="00521407"/>
    <w:rsid w:val="00524265"/>
    <w:rsid w:val="00534765"/>
    <w:rsid w:val="005449D7"/>
    <w:rsid w:val="00557BB4"/>
    <w:rsid w:val="00566B15"/>
    <w:rsid w:val="0057672B"/>
    <w:rsid w:val="005C1D29"/>
    <w:rsid w:val="005C5F71"/>
    <w:rsid w:val="005D5102"/>
    <w:rsid w:val="005E1599"/>
    <w:rsid w:val="005E3FEE"/>
    <w:rsid w:val="005F0EE3"/>
    <w:rsid w:val="00600678"/>
    <w:rsid w:val="00623A48"/>
    <w:rsid w:val="0064233B"/>
    <w:rsid w:val="00643221"/>
    <w:rsid w:val="00674DA9"/>
    <w:rsid w:val="00677B71"/>
    <w:rsid w:val="00691455"/>
    <w:rsid w:val="006D7E27"/>
    <w:rsid w:val="007010C2"/>
    <w:rsid w:val="0070636F"/>
    <w:rsid w:val="007339E0"/>
    <w:rsid w:val="00742CDC"/>
    <w:rsid w:val="0075309E"/>
    <w:rsid w:val="007578D5"/>
    <w:rsid w:val="0076300D"/>
    <w:rsid w:val="007903C7"/>
    <w:rsid w:val="007B36B2"/>
    <w:rsid w:val="007B3C11"/>
    <w:rsid w:val="007B74B9"/>
    <w:rsid w:val="007D6B18"/>
    <w:rsid w:val="007E46F4"/>
    <w:rsid w:val="007E7632"/>
    <w:rsid w:val="007F4E89"/>
    <w:rsid w:val="00810310"/>
    <w:rsid w:val="00813587"/>
    <w:rsid w:val="008213E9"/>
    <w:rsid w:val="00837044"/>
    <w:rsid w:val="008556EA"/>
    <w:rsid w:val="00857A99"/>
    <w:rsid w:val="0086484D"/>
    <w:rsid w:val="008B2ED1"/>
    <w:rsid w:val="008B31F4"/>
    <w:rsid w:val="008B5AF2"/>
    <w:rsid w:val="009131E5"/>
    <w:rsid w:val="009243DF"/>
    <w:rsid w:val="00930659"/>
    <w:rsid w:val="0093071B"/>
    <w:rsid w:val="00950B0D"/>
    <w:rsid w:val="00956EE4"/>
    <w:rsid w:val="00960874"/>
    <w:rsid w:val="00963864"/>
    <w:rsid w:val="0098664B"/>
    <w:rsid w:val="009C2C62"/>
    <w:rsid w:val="009D09B3"/>
    <w:rsid w:val="009E2FA6"/>
    <w:rsid w:val="009F5B6A"/>
    <w:rsid w:val="00A20FF0"/>
    <w:rsid w:val="00A2673B"/>
    <w:rsid w:val="00A31969"/>
    <w:rsid w:val="00A32AC5"/>
    <w:rsid w:val="00A467D9"/>
    <w:rsid w:val="00A61979"/>
    <w:rsid w:val="00A7539D"/>
    <w:rsid w:val="00A7579F"/>
    <w:rsid w:val="00AA3CCE"/>
    <w:rsid w:val="00AA445C"/>
    <w:rsid w:val="00AB3BC0"/>
    <w:rsid w:val="00AB5384"/>
    <w:rsid w:val="00AD054B"/>
    <w:rsid w:val="00AD4626"/>
    <w:rsid w:val="00AD5656"/>
    <w:rsid w:val="00AD62E2"/>
    <w:rsid w:val="00AF245A"/>
    <w:rsid w:val="00AF3B99"/>
    <w:rsid w:val="00AF45A9"/>
    <w:rsid w:val="00B31DC1"/>
    <w:rsid w:val="00B65626"/>
    <w:rsid w:val="00B879B7"/>
    <w:rsid w:val="00B93CF0"/>
    <w:rsid w:val="00BA777D"/>
    <w:rsid w:val="00BB275F"/>
    <w:rsid w:val="00BC4154"/>
    <w:rsid w:val="00BE2F3C"/>
    <w:rsid w:val="00BE3E26"/>
    <w:rsid w:val="00BF05A1"/>
    <w:rsid w:val="00C034D3"/>
    <w:rsid w:val="00C21CF9"/>
    <w:rsid w:val="00C26004"/>
    <w:rsid w:val="00C472DD"/>
    <w:rsid w:val="00C53EFE"/>
    <w:rsid w:val="00C61D44"/>
    <w:rsid w:val="00C72A67"/>
    <w:rsid w:val="00C75D95"/>
    <w:rsid w:val="00C77F86"/>
    <w:rsid w:val="00CA55BD"/>
    <w:rsid w:val="00CC59FE"/>
    <w:rsid w:val="00CD2FA6"/>
    <w:rsid w:val="00CE32BC"/>
    <w:rsid w:val="00CE6E77"/>
    <w:rsid w:val="00D11784"/>
    <w:rsid w:val="00D145CF"/>
    <w:rsid w:val="00D3138B"/>
    <w:rsid w:val="00D36274"/>
    <w:rsid w:val="00D7661B"/>
    <w:rsid w:val="00D927E7"/>
    <w:rsid w:val="00DD179A"/>
    <w:rsid w:val="00DE2A34"/>
    <w:rsid w:val="00DE44C2"/>
    <w:rsid w:val="00DE4EA4"/>
    <w:rsid w:val="00DF10D3"/>
    <w:rsid w:val="00DF4274"/>
    <w:rsid w:val="00E123C2"/>
    <w:rsid w:val="00E27C5E"/>
    <w:rsid w:val="00E36197"/>
    <w:rsid w:val="00E40A52"/>
    <w:rsid w:val="00E44024"/>
    <w:rsid w:val="00E45E96"/>
    <w:rsid w:val="00E60DBF"/>
    <w:rsid w:val="00E650A6"/>
    <w:rsid w:val="00E65B3D"/>
    <w:rsid w:val="00E70A33"/>
    <w:rsid w:val="00E95BBF"/>
    <w:rsid w:val="00EA039A"/>
    <w:rsid w:val="00EA2765"/>
    <w:rsid w:val="00EA406E"/>
    <w:rsid w:val="00EB1219"/>
    <w:rsid w:val="00EB387F"/>
    <w:rsid w:val="00EB6384"/>
    <w:rsid w:val="00EB66D9"/>
    <w:rsid w:val="00EB6EA1"/>
    <w:rsid w:val="00EC583A"/>
    <w:rsid w:val="00ED6994"/>
    <w:rsid w:val="00EE5C98"/>
    <w:rsid w:val="00EF25FB"/>
    <w:rsid w:val="00EF3C4F"/>
    <w:rsid w:val="00F00A7B"/>
    <w:rsid w:val="00F028F7"/>
    <w:rsid w:val="00F06FBF"/>
    <w:rsid w:val="00F2099D"/>
    <w:rsid w:val="00F43B0F"/>
    <w:rsid w:val="00F536CE"/>
    <w:rsid w:val="00F57771"/>
    <w:rsid w:val="00F57DBB"/>
    <w:rsid w:val="00F60364"/>
    <w:rsid w:val="00F757D4"/>
    <w:rsid w:val="00F75B8C"/>
    <w:rsid w:val="00F76071"/>
    <w:rsid w:val="00F87C36"/>
    <w:rsid w:val="00F9162A"/>
    <w:rsid w:val="00FB38F3"/>
    <w:rsid w:val="00FC5C50"/>
    <w:rsid w:val="00FC6115"/>
    <w:rsid w:val="00FD5AD7"/>
    <w:rsid w:val="00FF6C2F"/>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E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EA40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A406E"/>
    <w:rPr>
      <w:sz w:val="20"/>
    </w:rPr>
  </w:style>
  <w:style w:type="character" w:styleId="FootnoteReference">
    <w:name w:val="footnote reference"/>
    <w:basedOn w:val="DefaultParagraphFont"/>
    <w:uiPriority w:val="99"/>
    <w:unhideWhenUsed/>
    <w:rsid w:val="00EA406E"/>
    <w:rPr>
      <w:vertAlign w:val="superscript"/>
    </w:rPr>
  </w:style>
  <w:style w:type="table" w:styleId="TableGrid">
    <w:name w:val="Table Grid"/>
    <w:basedOn w:val="TableNormal"/>
    <w:uiPriority w:val="59"/>
    <w:rsid w:val="00EA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8B5AF2"/>
    <w:rPr>
      <w:rFonts w:ascii="Usherwood Book" w:hAnsi="Usherwood Book" w:cs="Usherwood Book"/>
      <w:b/>
      <w:bCs/>
      <w:color w:val="000000"/>
      <w:sz w:val="18"/>
      <w:szCs w:val="18"/>
    </w:rPr>
  </w:style>
  <w:style w:type="paragraph" w:customStyle="1" w:styleId="Pa8">
    <w:name w:val="Pa8"/>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paragraph" w:customStyle="1" w:styleId="Style">
    <w:name w:val="Style"/>
    <w:rsid w:val="002D73F5"/>
    <w:pPr>
      <w:widowControl w:val="0"/>
      <w:autoSpaceDE w:val="0"/>
      <w:autoSpaceDN w:val="0"/>
      <w:adjustRightInd w:val="0"/>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F0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BF"/>
    <w:rPr>
      <w:rFonts w:asciiTheme="minorHAnsi" w:hAnsiTheme="minorHAnsi"/>
      <w:sz w:val="22"/>
      <w:szCs w:val="22"/>
    </w:rPr>
  </w:style>
  <w:style w:type="paragraph" w:styleId="Footer">
    <w:name w:val="footer"/>
    <w:basedOn w:val="Normal"/>
    <w:link w:val="FooterChar"/>
    <w:uiPriority w:val="99"/>
    <w:unhideWhenUsed/>
    <w:rsid w:val="00F0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BF"/>
    <w:rPr>
      <w:rFonts w:asciiTheme="minorHAnsi" w:hAnsiTheme="minorHAnsi"/>
      <w:sz w:val="22"/>
      <w:szCs w:val="22"/>
    </w:rPr>
  </w:style>
  <w:style w:type="paragraph" w:styleId="BalloonText">
    <w:name w:val="Balloon Text"/>
    <w:basedOn w:val="Normal"/>
    <w:link w:val="BalloonTextChar"/>
    <w:uiPriority w:val="99"/>
    <w:semiHidden/>
    <w:unhideWhenUsed/>
    <w:rsid w:val="00EA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9A"/>
    <w:rPr>
      <w:rFonts w:ascii="Tahoma" w:hAnsi="Tahoma" w:cs="Tahoma"/>
      <w:sz w:val="16"/>
      <w:szCs w:val="16"/>
    </w:rPr>
  </w:style>
  <w:style w:type="character" w:customStyle="1" w:styleId="tgc">
    <w:name w:val="_tgc"/>
    <w:basedOn w:val="DefaultParagraphFont"/>
    <w:rsid w:val="0013049D"/>
  </w:style>
  <w:style w:type="character" w:styleId="Hyperlink">
    <w:name w:val="Hyperlink"/>
    <w:basedOn w:val="DefaultParagraphFont"/>
    <w:uiPriority w:val="99"/>
    <w:unhideWhenUsed/>
    <w:rsid w:val="00E40A52"/>
    <w:rPr>
      <w:color w:val="0000FF" w:themeColor="hyperlink"/>
      <w:u w:val="single"/>
    </w:rPr>
  </w:style>
  <w:style w:type="character" w:styleId="LineNumber">
    <w:name w:val="line number"/>
    <w:basedOn w:val="DefaultParagraphFont"/>
    <w:uiPriority w:val="99"/>
    <w:semiHidden/>
    <w:unhideWhenUsed/>
    <w:rsid w:val="0019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E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EA40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A406E"/>
    <w:rPr>
      <w:sz w:val="20"/>
    </w:rPr>
  </w:style>
  <w:style w:type="character" w:styleId="FootnoteReference">
    <w:name w:val="footnote reference"/>
    <w:basedOn w:val="DefaultParagraphFont"/>
    <w:uiPriority w:val="99"/>
    <w:unhideWhenUsed/>
    <w:rsid w:val="00EA406E"/>
    <w:rPr>
      <w:vertAlign w:val="superscript"/>
    </w:rPr>
  </w:style>
  <w:style w:type="table" w:styleId="TableGrid">
    <w:name w:val="Table Grid"/>
    <w:basedOn w:val="TableNormal"/>
    <w:uiPriority w:val="59"/>
    <w:rsid w:val="00EA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8B5AF2"/>
    <w:rPr>
      <w:rFonts w:ascii="Usherwood Book" w:hAnsi="Usherwood Book" w:cs="Usherwood Book"/>
      <w:b/>
      <w:bCs/>
      <w:color w:val="000000"/>
      <w:sz w:val="18"/>
      <w:szCs w:val="18"/>
    </w:rPr>
  </w:style>
  <w:style w:type="paragraph" w:customStyle="1" w:styleId="Pa8">
    <w:name w:val="Pa8"/>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paragraph" w:customStyle="1" w:styleId="Style">
    <w:name w:val="Style"/>
    <w:rsid w:val="002D73F5"/>
    <w:pPr>
      <w:widowControl w:val="0"/>
      <w:autoSpaceDE w:val="0"/>
      <w:autoSpaceDN w:val="0"/>
      <w:adjustRightInd w:val="0"/>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F0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BF"/>
    <w:rPr>
      <w:rFonts w:asciiTheme="minorHAnsi" w:hAnsiTheme="minorHAnsi"/>
      <w:sz w:val="22"/>
      <w:szCs w:val="22"/>
    </w:rPr>
  </w:style>
  <w:style w:type="paragraph" w:styleId="Footer">
    <w:name w:val="footer"/>
    <w:basedOn w:val="Normal"/>
    <w:link w:val="FooterChar"/>
    <w:uiPriority w:val="99"/>
    <w:unhideWhenUsed/>
    <w:rsid w:val="00F0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BF"/>
    <w:rPr>
      <w:rFonts w:asciiTheme="minorHAnsi" w:hAnsiTheme="minorHAnsi"/>
      <w:sz w:val="22"/>
      <w:szCs w:val="22"/>
    </w:rPr>
  </w:style>
  <w:style w:type="paragraph" w:styleId="BalloonText">
    <w:name w:val="Balloon Text"/>
    <w:basedOn w:val="Normal"/>
    <w:link w:val="BalloonTextChar"/>
    <w:uiPriority w:val="99"/>
    <w:semiHidden/>
    <w:unhideWhenUsed/>
    <w:rsid w:val="00EA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9A"/>
    <w:rPr>
      <w:rFonts w:ascii="Tahoma" w:hAnsi="Tahoma" w:cs="Tahoma"/>
      <w:sz w:val="16"/>
      <w:szCs w:val="16"/>
    </w:rPr>
  </w:style>
  <w:style w:type="character" w:customStyle="1" w:styleId="tgc">
    <w:name w:val="_tgc"/>
    <w:basedOn w:val="DefaultParagraphFont"/>
    <w:rsid w:val="0013049D"/>
  </w:style>
  <w:style w:type="character" w:styleId="Hyperlink">
    <w:name w:val="Hyperlink"/>
    <w:basedOn w:val="DefaultParagraphFont"/>
    <w:uiPriority w:val="99"/>
    <w:unhideWhenUsed/>
    <w:rsid w:val="00E40A52"/>
    <w:rPr>
      <w:color w:val="0000FF" w:themeColor="hyperlink"/>
      <w:u w:val="single"/>
    </w:rPr>
  </w:style>
  <w:style w:type="character" w:styleId="LineNumber">
    <w:name w:val="line number"/>
    <w:basedOn w:val="DefaultParagraphFont"/>
    <w:uiPriority w:val="99"/>
    <w:semiHidden/>
    <w:unhideWhenUsed/>
    <w:rsid w:val="0019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D01D-06B6-4062-9152-FA9BACE6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2019-08-16T05:03:00Z</cp:lastPrinted>
  <dcterms:created xsi:type="dcterms:W3CDTF">2020-04-13T20:35:00Z</dcterms:created>
  <dcterms:modified xsi:type="dcterms:W3CDTF">2020-04-13T20:41:00Z</dcterms:modified>
</cp:coreProperties>
</file>